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934CB1" w:rsidP="00934CB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p w:rsidR="00934CB1" w:rsidP="00934CB1">
      <w:pPr>
        <w:spacing w:after="0" w:line="480" w:lineRule="auto"/>
        <w:ind w:firstLine="720"/>
        <w:rPr>
          <w:rFonts w:ascii="Times New Roman" w:hAnsi="Times New Roman" w:cs="Times New Roman"/>
          <w:sz w:val="24"/>
          <w:szCs w:val="24"/>
        </w:rPr>
      </w:pPr>
    </w:p>
    <w:p w:rsidR="00934CB1" w:rsidP="00934CB1">
      <w:pPr>
        <w:spacing w:after="0" w:line="480" w:lineRule="auto"/>
        <w:ind w:firstLine="720"/>
        <w:rPr>
          <w:rFonts w:ascii="Times New Roman" w:hAnsi="Times New Roman" w:cs="Times New Roman"/>
          <w:sz w:val="24"/>
          <w:szCs w:val="24"/>
        </w:rPr>
      </w:pPr>
    </w:p>
    <w:p w:rsidR="00934CB1" w:rsidP="00934CB1">
      <w:pPr>
        <w:spacing w:after="0" w:line="480" w:lineRule="auto"/>
        <w:rPr>
          <w:rFonts w:ascii="Times New Roman" w:hAnsi="Times New Roman" w:cs="Times New Roman"/>
          <w:sz w:val="24"/>
          <w:szCs w:val="24"/>
        </w:rPr>
      </w:pPr>
    </w:p>
    <w:p w:rsidR="00934CB1" w:rsidP="00934CB1">
      <w:pPr>
        <w:spacing w:after="0" w:line="480" w:lineRule="auto"/>
        <w:ind w:firstLine="720"/>
        <w:rPr>
          <w:rFonts w:ascii="Times New Roman" w:hAnsi="Times New Roman" w:cs="Times New Roman"/>
          <w:b/>
          <w:sz w:val="24"/>
          <w:szCs w:val="24"/>
        </w:rPr>
      </w:pPr>
      <w:r>
        <w:rPr>
          <w:rFonts w:ascii="Times New Roman" w:hAnsi="Times New Roman" w:cs="Times New Roman"/>
          <w:sz w:val="24"/>
          <w:szCs w:val="24"/>
        </w:rPr>
        <w:t xml:space="preserve">                                                      </w:t>
      </w:r>
      <w:r w:rsidRPr="00934CB1">
        <w:rPr>
          <w:rFonts w:ascii="Times New Roman" w:hAnsi="Times New Roman" w:cs="Times New Roman"/>
          <w:b/>
          <w:sz w:val="24"/>
          <w:szCs w:val="24"/>
        </w:rPr>
        <w:t>Teen Dr</w:t>
      </w:r>
      <w:r w:rsidRPr="00934CB1">
        <w:rPr>
          <w:rFonts w:ascii="Times New Roman" w:hAnsi="Times New Roman" w:cs="Times New Roman"/>
          <w:b/>
          <w:sz w:val="24"/>
          <w:szCs w:val="24"/>
        </w:rPr>
        <w:t>o</w:t>
      </w:r>
      <w:r w:rsidRPr="00934CB1">
        <w:rPr>
          <w:rFonts w:ascii="Times New Roman" w:hAnsi="Times New Roman" w:cs="Times New Roman"/>
          <w:b/>
          <w:sz w:val="24"/>
          <w:szCs w:val="24"/>
        </w:rPr>
        <w:t>p</w:t>
      </w:r>
      <w:r w:rsidRPr="00934CB1">
        <w:rPr>
          <w:rFonts w:ascii="Times New Roman" w:hAnsi="Times New Roman" w:cs="Times New Roman"/>
          <w:b/>
          <w:sz w:val="24"/>
          <w:szCs w:val="24"/>
        </w:rPr>
        <w:t>o</w:t>
      </w:r>
      <w:r w:rsidRPr="00934CB1">
        <w:rPr>
          <w:rFonts w:ascii="Times New Roman" w:hAnsi="Times New Roman" w:cs="Times New Roman"/>
          <w:b/>
          <w:sz w:val="24"/>
          <w:szCs w:val="24"/>
        </w:rPr>
        <w:t>ut</w:t>
      </w:r>
    </w:p>
    <w:p w:rsidR="00934CB1" w:rsidP="00934CB1">
      <w:pPr>
        <w:spacing w:after="0" w:line="480" w:lineRule="auto"/>
        <w:ind w:firstLine="720"/>
        <w:rPr>
          <w:rFonts w:ascii="Times New Roman" w:hAnsi="Times New Roman" w:cs="Times New Roman"/>
          <w:b/>
          <w:sz w:val="24"/>
          <w:szCs w:val="24"/>
        </w:rPr>
      </w:pPr>
    </w:p>
    <w:p w:rsidR="00934CB1" w:rsidP="00934CB1">
      <w:pPr>
        <w:spacing w:after="0" w:line="480" w:lineRule="auto"/>
        <w:ind w:firstLine="720"/>
        <w:rPr>
          <w:rFonts w:ascii="Times New Roman" w:hAnsi="Times New Roman" w:cs="Times New Roman"/>
          <w:b/>
          <w:sz w:val="24"/>
          <w:szCs w:val="24"/>
        </w:rPr>
      </w:pPr>
    </w:p>
    <w:p w:rsidR="00934CB1" w:rsidP="00934CB1">
      <w:pPr>
        <w:spacing w:after="0" w:line="480" w:lineRule="auto"/>
        <w:ind w:firstLine="720"/>
        <w:rPr>
          <w:rFonts w:ascii="Times New Roman" w:hAnsi="Times New Roman" w:cs="Times New Roman"/>
          <w:b/>
          <w:sz w:val="24"/>
          <w:szCs w:val="24"/>
        </w:rPr>
      </w:pPr>
    </w:p>
    <w:p w:rsidR="00934CB1" w:rsidP="00934CB1">
      <w:pPr>
        <w:spacing w:after="0" w:line="480" w:lineRule="auto"/>
        <w:ind w:firstLine="720"/>
        <w:rPr>
          <w:rFonts w:ascii="Times New Roman" w:hAnsi="Times New Roman" w:cs="Times New Roman"/>
          <w:b/>
          <w:sz w:val="24"/>
          <w:szCs w:val="24"/>
        </w:rPr>
      </w:pPr>
    </w:p>
    <w:p w:rsidR="00934CB1" w:rsidRPr="00934CB1" w:rsidP="00934CB1">
      <w:pPr>
        <w:spacing w:after="0" w:line="480" w:lineRule="auto"/>
        <w:ind w:firstLine="720"/>
        <w:rPr>
          <w:rFonts w:ascii="Times New Roman" w:hAnsi="Times New Roman" w:cs="Times New Roman"/>
          <w:b/>
          <w:sz w:val="24"/>
          <w:szCs w:val="24"/>
        </w:rPr>
      </w:pPr>
    </w:p>
    <w:p w:rsidR="00934CB1" w:rsidRPr="006541E9" w:rsidP="00934CB1">
      <w:pPr>
        <w:spacing w:after="0" w:line="480" w:lineRule="auto"/>
        <w:jc w:val="center"/>
        <w:rPr>
          <w:rFonts w:ascii="Times New Roman" w:hAnsi="Times New Roman" w:cs="Times New Roman"/>
          <w:color w:val="263238"/>
          <w:sz w:val="24"/>
          <w:szCs w:val="24"/>
        </w:rPr>
      </w:pPr>
      <w:r w:rsidRPr="006541E9">
        <w:rPr>
          <w:rFonts w:ascii="Times New Roman" w:hAnsi="Times New Roman" w:cs="Times New Roman"/>
          <w:color w:val="263238"/>
          <w:sz w:val="24"/>
          <w:szCs w:val="24"/>
        </w:rPr>
        <w:t>Student’s Name</w:t>
      </w:r>
    </w:p>
    <w:p w:rsidR="00934CB1" w:rsidRPr="006541E9" w:rsidP="00934CB1">
      <w:pPr>
        <w:spacing w:after="0" w:line="480" w:lineRule="auto"/>
        <w:jc w:val="center"/>
        <w:rPr>
          <w:rFonts w:ascii="Times New Roman" w:hAnsi="Times New Roman" w:cs="Times New Roman"/>
          <w:color w:val="263238"/>
          <w:sz w:val="24"/>
          <w:szCs w:val="24"/>
        </w:rPr>
      </w:pPr>
      <w:r w:rsidRPr="006541E9">
        <w:rPr>
          <w:rFonts w:ascii="Times New Roman" w:hAnsi="Times New Roman" w:cs="Times New Roman"/>
          <w:color w:val="263238"/>
          <w:sz w:val="24"/>
          <w:szCs w:val="24"/>
        </w:rPr>
        <w:t>Department, University</w:t>
      </w:r>
    </w:p>
    <w:p w:rsidR="00934CB1" w:rsidRPr="006541E9" w:rsidP="00934CB1">
      <w:pPr>
        <w:spacing w:after="0" w:line="480" w:lineRule="auto"/>
        <w:jc w:val="center"/>
        <w:rPr>
          <w:rFonts w:ascii="Times New Roman" w:hAnsi="Times New Roman" w:cs="Times New Roman"/>
          <w:color w:val="263238"/>
          <w:sz w:val="24"/>
          <w:szCs w:val="24"/>
        </w:rPr>
      </w:pPr>
      <w:r w:rsidRPr="006541E9">
        <w:rPr>
          <w:rFonts w:ascii="Times New Roman" w:hAnsi="Times New Roman" w:cs="Times New Roman"/>
          <w:color w:val="263238"/>
          <w:sz w:val="24"/>
          <w:szCs w:val="24"/>
        </w:rPr>
        <w:t>Course Number and Name</w:t>
      </w:r>
    </w:p>
    <w:p w:rsidR="00934CB1" w:rsidRPr="006541E9" w:rsidP="00934CB1">
      <w:pPr>
        <w:spacing w:after="0" w:line="480" w:lineRule="auto"/>
        <w:jc w:val="center"/>
        <w:rPr>
          <w:rFonts w:ascii="Times New Roman" w:hAnsi="Times New Roman" w:cs="Times New Roman"/>
          <w:color w:val="263238"/>
          <w:sz w:val="24"/>
          <w:szCs w:val="24"/>
        </w:rPr>
      </w:pPr>
      <w:r w:rsidRPr="006541E9">
        <w:rPr>
          <w:rFonts w:ascii="Times New Roman" w:hAnsi="Times New Roman" w:cs="Times New Roman"/>
          <w:color w:val="263238"/>
          <w:sz w:val="24"/>
          <w:szCs w:val="24"/>
        </w:rPr>
        <w:t>Instructor's Name</w:t>
      </w:r>
    </w:p>
    <w:p w:rsidR="00934CB1" w:rsidRPr="006541E9" w:rsidP="00934CB1">
      <w:pPr>
        <w:spacing w:after="0" w:line="480" w:lineRule="auto"/>
        <w:jc w:val="center"/>
        <w:rPr>
          <w:rFonts w:ascii="Times New Roman" w:hAnsi="Times New Roman" w:cs="Times New Roman"/>
          <w:color w:val="263238"/>
          <w:sz w:val="24"/>
          <w:szCs w:val="24"/>
        </w:rPr>
      </w:pPr>
      <w:r w:rsidRPr="006541E9">
        <w:rPr>
          <w:rFonts w:ascii="Times New Roman" w:hAnsi="Times New Roman" w:cs="Times New Roman"/>
          <w:color w:val="263238"/>
          <w:sz w:val="24"/>
          <w:szCs w:val="24"/>
        </w:rPr>
        <w:t>Date</w:t>
      </w:r>
    </w:p>
    <w:p w:rsidR="00934CB1" w:rsidP="00934CB1">
      <w:pPr>
        <w:spacing w:after="0" w:line="480" w:lineRule="auto"/>
        <w:ind w:firstLine="720"/>
        <w:jc w:val="center"/>
        <w:rPr>
          <w:rFonts w:ascii="Times New Roman" w:hAnsi="Times New Roman" w:cs="Times New Roman"/>
          <w:sz w:val="24"/>
          <w:szCs w:val="24"/>
        </w:rPr>
      </w:pPr>
    </w:p>
    <w:p w:rsidR="00934CB1" w:rsidP="00093730">
      <w:pPr>
        <w:spacing w:after="0" w:line="480" w:lineRule="auto"/>
        <w:ind w:firstLine="720"/>
        <w:jc w:val="both"/>
        <w:rPr>
          <w:rFonts w:ascii="Times New Roman" w:hAnsi="Times New Roman" w:cs="Times New Roman"/>
          <w:sz w:val="24"/>
          <w:szCs w:val="24"/>
        </w:rPr>
      </w:pPr>
    </w:p>
    <w:p w:rsidR="00934CB1" w:rsidP="00093730">
      <w:pPr>
        <w:spacing w:after="0" w:line="480" w:lineRule="auto"/>
        <w:ind w:firstLine="720"/>
        <w:jc w:val="both"/>
        <w:rPr>
          <w:rFonts w:ascii="Times New Roman" w:hAnsi="Times New Roman" w:cs="Times New Roman"/>
          <w:sz w:val="24"/>
          <w:szCs w:val="24"/>
        </w:rPr>
      </w:pPr>
    </w:p>
    <w:p w:rsidR="00934CB1" w:rsidP="00093730">
      <w:pPr>
        <w:spacing w:after="0" w:line="480" w:lineRule="auto"/>
        <w:ind w:firstLine="720"/>
        <w:jc w:val="both"/>
        <w:rPr>
          <w:rFonts w:ascii="Times New Roman" w:hAnsi="Times New Roman" w:cs="Times New Roman"/>
          <w:sz w:val="24"/>
          <w:szCs w:val="24"/>
        </w:rPr>
      </w:pPr>
    </w:p>
    <w:p w:rsidR="00934CB1" w:rsidP="00093730">
      <w:pPr>
        <w:spacing w:after="0" w:line="480" w:lineRule="auto"/>
        <w:ind w:firstLine="720"/>
        <w:jc w:val="both"/>
        <w:rPr>
          <w:rFonts w:ascii="Times New Roman" w:hAnsi="Times New Roman" w:cs="Times New Roman"/>
          <w:sz w:val="24"/>
          <w:szCs w:val="24"/>
        </w:rPr>
      </w:pPr>
    </w:p>
    <w:p w:rsidR="00934CB1" w:rsidP="00093730">
      <w:pPr>
        <w:spacing w:after="0" w:line="480" w:lineRule="auto"/>
        <w:ind w:firstLine="720"/>
        <w:jc w:val="both"/>
        <w:rPr>
          <w:rFonts w:ascii="Times New Roman" w:hAnsi="Times New Roman" w:cs="Times New Roman"/>
          <w:sz w:val="24"/>
          <w:szCs w:val="24"/>
        </w:rPr>
      </w:pPr>
    </w:p>
    <w:p w:rsidR="00934CB1" w:rsidP="00093730">
      <w:pPr>
        <w:spacing w:after="0" w:line="480" w:lineRule="auto"/>
        <w:ind w:firstLine="720"/>
        <w:jc w:val="both"/>
        <w:rPr>
          <w:rFonts w:ascii="Times New Roman" w:hAnsi="Times New Roman" w:cs="Times New Roman"/>
          <w:sz w:val="24"/>
          <w:szCs w:val="24"/>
        </w:rPr>
      </w:pPr>
    </w:p>
    <w:p w:rsidR="00934CB1" w:rsidP="0092180D">
      <w:pPr>
        <w:spacing w:after="0" w:line="480" w:lineRule="auto"/>
        <w:jc w:val="both"/>
        <w:rPr>
          <w:rFonts w:ascii="Times New Roman" w:hAnsi="Times New Roman" w:cs="Times New Roman"/>
          <w:sz w:val="24"/>
          <w:szCs w:val="24"/>
        </w:rPr>
      </w:pPr>
    </w:p>
    <w:p w:rsidR="00C621D0" w:rsidRPr="00C621D0" w:rsidP="00C621D0">
      <w:pPr>
        <w:spacing w:after="0" w:line="480" w:lineRule="auto"/>
        <w:ind w:firstLine="720"/>
        <w:jc w:val="both"/>
        <w:rPr>
          <w:rFonts w:ascii="Times New Roman" w:hAnsi="Times New Roman" w:cs="Times New Roman"/>
          <w:sz w:val="24"/>
          <w:szCs w:val="24"/>
        </w:rPr>
      </w:pPr>
      <w:r w:rsidRPr="00C621D0">
        <w:rPr>
          <w:rFonts w:ascii="Times New Roman" w:hAnsi="Times New Roman" w:cs="Times New Roman"/>
          <w:sz w:val="24"/>
          <w:szCs w:val="24"/>
        </w:rPr>
        <w:t xml:space="preserve">Did you know that today, it is more likely for an individual in Asia to drop out than in Sub-Saharan Africa? Studies have shown that teen dropout rates have been higher in South and West Asia compared to any other place in the world from a global perspective. With a prevalence rate of 43%, Asia has witnessed an upsurge of teen dropouts compared to sub –Saharan Africa's rate of 36% due to socioeconomic distress (De Witte et al., 2014). The growing rate of teen dropouts presents a domino effect because one's a juvenile drop out of school; the chances of engaging in deviant behaviors are very high. My speech shall focus on detecting and analyzing what causes juveniles to drop out of school and, in many instances, engage in delinquency. </w:t>
      </w:r>
    </w:p>
    <w:p w:rsidR="00C621D0" w:rsidRPr="00C621D0" w:rsidP="00C621D0">
      <w:pPr>
        <w:spacing w:after="0" w:line="480" w:lineRule="auto"/>
        <w:ind w:firstLine="720"/>
        <w:jc w:val="both"/>
        <w:rPr>
          <w:rFonts w:ascii="Times New Roman" w:hAnsi="Times New Roman" w:cs="Times New Roman"/>
          <w:sz w:val="24"/>
          <w:szCs w:val="24"/>
        </w:rPr>
      </w:pPr>
      <w:r w:rsidRPr="00C621D0">
        <w:rPr>
          <w:rFonts w:ascii="Times New Roman" w:hAnsi="Times New Roman" w:cs="Times New Roman"/>
          <w:sz w:val="24"/>
          <w:szCs w:val="24"/>
        </w:rPr>
        <w:t>Studies have maintained that students who drop out of school always engage in child prostitution, crime, and gang violence (Bates, 2020). In as much as that is the case, it should be understood that in most cases, many of these dropouts are usually not deliberate decisions made by a student to abscond going to school. Academic failure, attendance, disengagement, pregnancy, financial difficulties, drug use/addiction, and health-related issues directly impact one's thoughts of deciding whether to continue with studies or drop out. As such, many things usually go through a student's mind before making that suicidal decision, as many would like to consider it.</w:t>
      </w:r>
    </w:p>
    <w:p w:rsidR="00C621D0" w:rsidRPr="00C621D0" w:rsidP="00C621D0">
      <w:pPr>
        <w:spacing w:after="0" w:line="480" w:lineRule="auto"/>
        <w:ind w:firstLine="720"/>
        <w:jc w:val="both"/>
        <w:rPr>
          <w:rFonts w:ascii="Times New Roman" w:hAnsi="Times New Roman" w:cs="Times New Roman"/>
          <w:sz w:val="24"/>
          <w:szCs w:val="24"/>
        </w:rPr>
      </w:pPr>
      <w:r w:rsidRPr="00C621D0">
        <w:rPr>
          <w:rFonts w:ascii="Times New Roman" w:hAnsi="Times New Roman" w:cs="Times New Roman"/>
          <w:sz w:val="24"/>
          <w:szCs w:val="24"/>
        </w:rPr>
        <w:t xml:space="preserve">Teen dropout has been there for quite a long time, and it is not a new phenomenon. The only new thing is that the prevalence rate has skyrocketed. Internalizing and externalizing disorders are among the factors attributed to the skyrocketing prevalence rate of teen dropouts. Disruptive behavior, which is an externalizing disorder, is a significant impediment to educational attainment. It is complemented by depression and anxiety, among internalizing problems (Herrero and Perez, 2016). Children who usually have early behavioral issues are always at the risk of experiencing academic difficulties, resulting in them feeling rejected by their </w:t>
      </w:r>
      <w:r w:rsidRPr="00C621D0">
        <w:rPr>
          <w:rFonts w:ascii="Times New Roman" w:hAnsi="Times New Roman" w:cs="Times New Roman"/>
          <w:sz w:val="24"/>
          <w:szCs w:val="24"/>
        </w:rPr>
        <w:t xml:space="preserve">prosocial peers. Such children may start linking themselves with deviant peers and eventually engage in other forms of maladjusted acts such as drug use, truancy, or violent behavior. </w:t>
      </w:r>
    </w:p>
    <w:p w:rsidR="00C621D0" w:rsidRPr="00C621D0" w:rsidP="00C621D0">
      <w:pPr>
        <w:spacing w:after="0" w:line="480" w:lineRule="auto"/>
        <w:ind w:firstLine="720"/>
        <w:jc w:val="both"/>
        <w:rPr>
          <w:rFonts w:ascii="Times New Roman" w:hAnsi="Times New Roman" w:cs="Times New Roman"/>
          <w:sz w:val="24"/>
          <w:szCs w:val="24"/>
        </w:rPr>
      </w:pPr>
      <w:r w:rsidRPr="00C621D0">
        <w:rPr>
          <w:rFonts w:ascii="Times New Roman" w:hAnsi="Times New Roman" w:cs="Times New Roman"/>
          <w:sz w:val="24"/>
          <w:szCs w:val="24"/>
        </w:rPr>
        <w:t>Socioeconomic status, on the other end, also affects the high rate of teens dropping out. Many families struggle to earn a living; education is usually their only hope of escaping poverty. A lot of pressure is generally put on the children to excel in academics and forget the other areas that the student may be good at. These students usually strain to please their parents to the extent that they are typically distressed when they fail and feel like they have already failed in life. The straining, especially among students who are not gifted in education, always makes them entertain the idea of giving up school.</w:t>
      </w:r>
    </w:p>
    <w:p w:rsidR="00C621D0" w:rsidRPr="00C621D0" w:rsidP="00C621D0">
      <w:pPr>
        <w:spacing w:after="0" w:line="480" w:lineRule="auto"/>
        <w:ind w:firstLine="720"/>
        <w:jc w:val="both"/>
        <w:rPr>
          <w:rFonts w:ascii="Times New Roman" w:hAnsi="Times New Roman" w:cs="Times New Roman"/>
          <w:sz w:val="24"/>
          <w:szCs w:val="24"/>
        </w:rPr>
      </w:pPr>
      <w:r w:rsidRPr="00C621D0">
        <w:rPr>
          <w:rFonts w:ascii="Times New Roman" w:hAnsi="Times New Roman" w:cs="Times New Roman"/>
          <w:sz w:val="24"/>
          <w:szCs w:val="24"/>
        </w:rPr>
        <w:t xml:space="preserve">In many cases, they usually wait for the slightest provocation to hang their boots. Thus, out of the hurting, they engage in activities that release the hurting as a remedy. As such, they engage in smoking and taking alcohol, which may make them indulge in promiscuous activities such as unprotected sex, leading to unplanned pregnancies, or even rob someone. </w:t>
      </w:r>
    </w:p>
    <w:p w:rsidR="00934CB1" w:rsidP="00C621D0">
      <w:pPr>
        <w:spacing w:after="0" w:line="480" w:lineRule="auto"/>
        <w:ind w:firstLine="720"/>
        <w:jc w:val="both"/>
        <w:rPr>
          <w:rFonts w:ascii="Times New Roman" w:hAnsi="Times New Roman" w:cs="Times New Roman"/>
          <w:sz w:val="24"/>
          <w:szCs w:val="24"/>
        </w:rPr>
      </w:pPr>
      <w:r w:rsidRPr="00C621D0">
        <w:rPr>
          <w:rFonts w:ascii="Times New Roman" w:hAnsi="Times New Roman" w:cs="Times New Roman"/>
          <w:sz w:val="24"/>
          <w:szCs w:val="24"/>
        </w:rPr>
        <w:t>In conclusion, the reasons that cause many teens to drop out of school can be tamed and enable every student to finish secondary school. Internalizing and externalizing disorders can be tamed through counselling and understanding a student before any rush repercussions that may worsen. Students are humans, and thus, their parents and teachers should always treat them as such rather than imposing rules that constrain them to think and explore.</w:t>
      </w:r>
    </w:p>
    <w:p w:rsidR="0092180D" w:rsidP="00093730">
      <w:pPr>
        <w:spacing w:after="0" w:line="480" w:lineRule="auto"/>
        <w:ind w:firstLine="720"/>
        <w:jc w:val="both"/>
        <w:rPr>
          <w:rFonts w:ascii="Times New Roman" w:hAnsi="Times New Roman" w:cs="Times New Roman"/>
          <w:sz w:val="24"/>
          <w:szCs w:val="24"/>
        </w:rPr>
      </w:pPr>
    </w:p>
    <w:p w:rsidR="00C621D0" w:rsidP="00093730">
      <w:pPr>
        <w:spacing w:after="0" w:line="480" w:lineRule="auto"/>
        <w:ind w:firstLine="720"/>
        <w:jc w:val="both"/>
        <w:rPr>
          <w:rFonts w:ascii="Times New Roman" w:hAnsi="Times New Roman" w:cs="Times New Roman"/>
          <w:sz w:val="24"/>
          <w:szCs w:val="24"/>
        </w:rPr>
      </w:pPr>
    </w:p>
    <w:p w:rsidR="00C621D0" w:rsidP="00093730">
      <w:pPr>
        <w:spacing w:after="0" w:line="480" w:lineRule="auto"/>
        <w:ind w:firstLine="720"/>
        <w:jc w:val="both"/>
        <w:rPr>
          <w:rFonts w:ascii="Times New Roman" w:hAnsi="Times New Roman" w:cs="Times New Roman"/>
          <w:sz w:val="24"/>
          <w:szCs w:val="24"/>
        </w:rPr>
      </w:pPr>
    </w:p>
    <w:p w:rsidR="00C621D0" w:rsidP="00093730">
      <w:pPr>
        <w:spacing w:after="0" w:line="480" w:lineRule="auto"/>
        <w:ind w:firstLine="720"/>
        <w:jc w:val="both"/>
        <w:rPr>
          <w:rFonts w:ascii="Times New Roman" w:hAnsi="Times New Roman" w:cs="Times New Roman"/>
          <w:sz w:val="24"/>
          <w:szCs w:val="24"/>
        </w:rPr>
      </w:pPr>
    </w:p>
    <w:sdt>
      <w:sdtPr>
        <w:rPr>
          <w:rFonts w:ascii="Times New Roman" w:hAnsi="Times New Roman" w:eastAsiaTheme="minorHAnsi" w:cs="Times New Roman"/>
          <w:color w:val="auto"/>
          <w:sz w:val="24"/>
          <w:szCs w:val="24"/>
        </w:rPr>
        <w:id w:val="1563602521"/>
        <w:docPartObj>
          <w:docPartGallery w:val="Bibliographies"/>
          <w:docPartUnique/>
        </w:docPartObj>
      </w:sdtPr>
      <w:sdtContent>
        <w:p w:rsidR="00934CB1" w:rsidRPr="0092180D" w:rsidP="0092180D">
          <w:pPr>
            <w:pStyle w:val="Heading1"/>
            <w:spacing w:before="0" w:line="480" w:lineRule="auto"/>
            <w:jc w:val="center"/>
            <w:rPr>
              <w:rFonts w:ascii="Times New Roman" w:hAnsi="Times New Roman" w:cs="Times New Roman"/>
              <w:b/>
              <w:color w:val="auto"/>
              <w:sz w:val="24"/>
              <w:szCs w:val="24"/>
            </w:rPr>
          </w:pPr>
          <w:r w:rsidRPr="0092180D">
            <w:rPr>
              <w:rFonts w:ascii="Times New Roman" w:hAnsi="Times New Roman" w:cs="Times New Roman"/>
              <w:b/>
              <w:color w:val="auto"/>
              <w:sz w:val="24"/>
              <w:szCs w:val="24"/>
            </w:rPr>
            <w:t>References</w:t>
          </w:r>
        </w:p>
        <w:sdt>
          <w:sdtPr>
            <w:rPr>
              <w:rFonts w:ascii="Times New Roman" w:hAnsi="Times New Roman" w:cs="Times New Roman"/>
              <w:sz w:val="24"/>
              <w:szCs w:val="24"/>
            </w:rPr>
            <w:id w:val="-573587230"/>
            <w:bibliography/>
          </w:sdtPr>
          <w:sdtContent>
            <w:p w:rsidR="00934CB1" w:rsidRPr="009D6366" w:rsidP="00934CB1">
              <w:pPr>
                <w:pStyle w:val="Bibliography"/>
                <w:spacing w:after="0" w:line="480" w:lineRule="auto"/>
                <w:ind w:left="720" w:hanging="720"/>
                <w:jc w:val="both"/>
                <w:rPr>
                  <w:rFonts w:ascii="Times New Roman" w:hAnsi="Times New Roman" w:cs="Times New Roman"/>
                  <w:noProof/>
                  <w:sz w:val="24"/>
                  <w:szCs w:val="24"/>
                </w:rPr>
              </w:pPr>
              <w:r w:rsidRPr="009D6366">
                <w:rPr>
                  <w:rFonts w:ascii="Times New Roman" w:hAnsi="Times New Roman" w:cs="Times New Roman"/>
                  <w:sz w:val="24"/>
                  <w:szCs w:val="24"/>
                </w:rPr>
                <w:fldChar w:fldCharType="begin"/>
              </w:r>
              <w:r w:rsidRPr="009D6366">
                <w:rPr>
                  <w:rFonts w:ascii="Times New Roman" w:hAnsi="Times New Roman" w:cs="Times New Roman"/>
                  <w:sz w:val="24"/>
                  <w:szCs w:val="24"/>
                </w:rPr>
                <w:instrText xml:space="preserve"> BIBLIOGRAPHY </w:instrText>
              </w:r>
              <w:r w:rsidRPr="009D6366">
                <w:rPr>
                  <w:rFonts w:ascii="Times New Roman" w:hAnsi="Times New Roman" w:cs="Times New Roman"/>
                  <w:sz w:val="24"/>
                  <w:szCs w:val="24"/>
                </w:rPr>
                <w:fldChar w:fldCharType="separate"/>
              </w:r>
              <w:r w:rsidRPr="009D6366">
                <w:rPr>
                  <w:rFonts w:ascii="Times New Roman" w:hAnsi="Times New Roman" w:cs="Times New Roman"/>
                  <w:noProof/>
                  <w:sz w:val="24"/>
                  <w:szCs w:val="24"/>
                </w:rPr>
                <w:t xml:space="preserve">Bates, K. (2020). </w:t>
              </w:r>
              <w:r w:rsidRPr="009D6366">
                <w:rPr>
                  <w:rFonts w:ascii="Times New Roman" w:hAnsi="Times New Roman" w:cs="Times New Roman"/>
                  <w:i/>
                  <w:iCs/>
                  <w:noProof/>
                  <w:sz w:val="24"/>
                  <w:szCs w:val="24"/>
                </w:rPr>
                <w:t>Juvenile Delinquency in a Diverse Society.</w:t>
              </w:r>
              <w:r w:rsidRPr="009D6366">
                <w:rPr>
                  <w:rFonts w:ascii="Times New Roman" w:hAnsi="Times New Roman" w:cs="Times New Roman"/>
                  <w:noProof/>
                  <w:sz w:val="24"/>
                  <w:szCs w:val="24"/>
                </w:rPr>
                <w:t xml:space="preserve"> Boston: SAGE Publications.</w:t>
              </w:r>
            </w:p>
            <w:p w:rsidR="00934CB1" w:rsidRPr="009D6366" w:rsidP="00934CB1">
              <w:pPr>
                <w:pStyle w:val="Bibliography"/>
                <w:spacing w:after="0" w:line="480" w:lineRule="auto"/>
                <w:ind w:left="720" w:hanging="720"/>
                <w:jc w:val="both"/>
                <w:rPr>
                  <w:rFonts w:ascii="Times New Roman" w:hAnsi="Times New Roman" w:cs="Times New Roman"/>
                  <w:noProof/>
                  <w:sz w:val="24"/>
                  <w:szCs w:val="24"/>
                </w:rPr>
              </w:pPr>
              <w:r w:rsidRPr="009D6366">
                <w:rPr>
                  <w:rFonts w:ascii="Times New Roman" w:hAnsi="Times New Roman" w:cs="Times New Roman"/>
                  <w:noProof/>
                  <w:sz w:val="24"/>
                  <w:szCs w:val="24"/>
                </w:rPr>
                <w:t xml:space="preserve">De Witte, K., Groot, W., Cabus, S., &amp; Thyssen, G. B. (2013). A Critical Review of the Literature on School Dropout. </w:t>
              </w:r>
              <w:r w:rsidRPr="009D6366">
                <w:rPr>
                  <w:rFonts w:ascii="Times New Roman" w:hAnsi="Times New Roman" w:cs="Times New Roman"/>
                  <w:i/>
                  <w:iCs/>
                  <w:noProof/>
                  <w:sz w:val="24"/>
                  <w:szCs w:val="24"/>
                </w:rPr>
                <w:t>Education Res. Rev., 10</w:t>
              </w:r>
              <w:r w:rsidRPr="009D6366">
                <w:rPr>
                  <w:rFonts w:ascii="Times New Roman" w:hAnsi="Times New Roman" w:cs="Times New Roman"/>
                  <w:noProof/>
                  <w:sz w:val="24"/>
                  <w:szCs w:val="24"/>
                </w:rPr>
                <w:t>, 13-28.</w:t>
              </w:r>
            </w:p>
            <w:p w:rsidR="00934CB1" w:rsidRPr="009D6366" w:rsidP="00934CB1">
              <w:pPr>
                <w:pStyle w:val="Bibliography"/>
                <w:spacing w:after="0" w:line="480" w:lineRule="auto"/>
                <w:ind w:left="720" w:hanging="720"/>
                <w:jc w:val="both"/>
                <w:rPr>
                  <w:rFonts w:ascii="Times New Roman" w:hAnsi="Times New Roman" w:cs="Times New Roman"/>
                  <w:noProof/>
                  <w:sz w:val="24"/>
                  <w:szCs w:val="24"/>
                </w:rPr>
              </w:pPr>
              <w:r w:rsidRPr="009D6366">
                <w:rPr>
                  <w:rFonts w:ascii="Times New Roman" w:hAnsi="Times New Roman" w:cs="Times New Roman"/>
                  <w:noProof/>
                  <w:sz w:val="24"/>
                  <w:szCs w:val="24"/>
                </w:rPr>
                <w:t xml:space="preserve">Herrero, J., &amp; Perez, B. (2016). Risk Factors for School Dropout in a Sample of Juvenile Offenders. </w:t>
              </w:r>
              <w:r w:rsidRPr="009D6366">
                <w:rPr>
                  <w:rFonts w:ascii="Times New Roman" w:hAnsi="Times New Roman" w:cs="Times New Roman"/>
                  <w:i/>
                  <w:iCs/>
                  <w:noProof/>
                  <w:sz w:val="24"/>
                  <w:szCs w:val="24"/>
                </w:rPr>
                <w:t>Frontal Psychology, 7</w:t>
              </w:r>
              <w:r w:rsidRPr="009D6366">
                <w:rPr>
                  <w:rFonts w:ascii="Times New Roman" w:hAnsi="Times New Roman" w:cs="Times New Roman"/>
                  <w:noProof/>
                  <w:sz w:val="24"/>
                  <w:szCs w:val="24"/>
                </w:rPr>
                <w:t>.</w:t>
              </w:r>
            </w:p>
            <w:p w:rsidR="00934CB1" w:rsidP="00934CB1">
              <w:pPr>
                <w:spacing w:after="0" w:line="480" w:lineRule="auto"/>
                <w:jc w:val="both"/>
                <w:rPr>
                  <w:rFonts w:ascii="Times New Roman" w:hAnsi="Times New Roman" w:cs="Times New Roman"/>
                  <w:sz w:val="24"/>
                  <w:szCs w:val="24"/>
                </w:rPr>
              </w:pPr>
              <w:r w:rsidRPr="009D6366">
                <w:rPr>
                  <w:rFonts w:ascii="Times New Roman" w:hAnsi="Times New Roman" w:cs="Times New Roman"/>
                  <w:b/>
                  <w:bCs/>
                  <w:noProof/>
                  <w:sz w:val="24"/>
                  <w:szCs w:val="24"/>
                </w:rPr>
                <w:fldChar w:fldCharType="end"/>
              </w:r>
            </w:p>
          </w:sdtContent>
        </w:sdt>
      </w:sdtContent>
    </w:sdt>
    <w:p w:rsidR="00954C60">
      <w:bookmarkStart w:id="0" w:name="_GoBack"/>
      <w:bookmarkEnd w:id="0"/>
    </w:p>
    <w:sectPr>
      <w:headerReference w:type="default" r:id="rI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1145165"/>
      <w:docPartObj>
        <w:docPartGallery w:val="Page Numbers (Top of Page)"/>
        <w:docPartUnique/>
      </w:docPartObj>
    </w:sdtPr>
    <w:sdtEndPr>
      <w:rPr>
        <w:noProof/>
      </w:rPr>
    </w:sdtEndPr>
    <w:sdtContent>
      <w:p w:rsidR="00934CB1">
        <w:pPr>
          <w:pStyle w:val="Header"/>
          <w:jc w:val="right"/>
        </w:pPr>
        <w:r>
          <w:fldChar w:fldCharType="begin"/>
        </w:r>
        <w:r>
          <w:instrText xml:space="preserve"> PAGE   \* MERGEFORMAT </w:instrText>
        </w:r>
        <w:r>
          <w:fldChar w:fldCharType="separate"/>
        </w:r>
        <w:r w:rsidR="00C621D0">
          <w:rPr>
            <w:noProof/>
          </w:rPr>
          <w:t>4</w:t>
        </w:r>
        <w:r>
          <w:rPr>
            <w:noProof/>
          </w:rPr>
          <w:fldChar w:fldCharType="end"/>
        </w:r>
      </w:p>
    </w:sdtContent>
  </w:sdt>
  <w:p w:rsidR="00934C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730"/>
    <w:rsid w:val="00093730"/>
    <w:rsid w:val="00535510"/>
    <w:rsid w:val="006541E9"/>
    <w:rsid w:val="0092180D"/>
    <w:rsid w:val="00934527"/>
    <w:rsid w:val="00934CB1"/>
    <w:rsid w:val="00954C60"/>
    <w:rsid w:val="009D6366"/>
    <w:rsid w:val="00C621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1A8DAD63-C73D-4C94-9DAF-936329C6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730"/>
  </w:style>
  <w:style w:type="paragraph" w:styleId="Heading1">
    <w:name w:val="heading 1"/>
    <w:basedOn w:val="Normal"/>
    <w:next w:val="Normal"/>
    <w:link w:val="Heading1Char"/>
    <w:uiPriority w:val="9"/>
    <w:qFormat/>
    <w:rsid w:val="00934C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4CB1"/>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934CB1"/>
  </w:style>
  <w:style w:type="paragraph" w:styleId="Header">
    <w:name w:val="header"/>
    <w:basedOn w:val="Normal"/>
    <w:link w:val="HeaderChar"/>
    <w:uiPriority w:val="99"/>
    <w:unhideWhenUsed/>
    <w:rsid w:val="00934C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CB1"/>
  </w:style>
  <w:style w:type="paragraph" w:styleId="Footer">
    <w:name w:val="footer"/>
    <w:basedOn w:val="Normal"/>
    <w:link w:val="FooterChar"/>
    <w:uiPriority w:val="99"/>
    <w:unhideWhenUsed/>
    <w:rsid w:val="00934C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Bat20</b:Tag>
    <b:SourceType>Book</b:SourceType>
    <b:Guid>{25A43901-D341-46E3-AC6E-F88800F5B693}</b:Guid>
    <b:Author>
      <b:Author>
        <b:NameList>
          <b:Person>
            <b:Last>Bates</b:Last>
            <b:First>Kristin</b:First>
          </b:Person>
        </b:NameList>
      </b:Author>
    </b:Author>
    <b:Title>Juvenile Delinquency in a Diverse Society</b:Title>
    <b:Year>2020</b:Year>
    <b:City>Boston</b:City>
    <b:Publisher>SAGE Publications</b:Publisher>
    <b:RefOrder>1</b:RefOrder>
  </b:Source>
  <b:Source>
    <b:Tag>Her16</b:Tag>
    <b:SourceType>JournalArticle</b:SourceType>
    <b:Guid>{93AEAA2D-205E-4E0B-B4CF-59A7AC7DABC1}</b:Guid>
    <b:Title>Risk Factors for School Dropout in a Sample of Juvenile Offenders</b:Title>
    <b:Year>2016</b:Year>
    <b:Author>
      <b:Author>
        <b:NameList>
          <b:Person>
            <b:Last>Herrero</b:Last>
            <b:First>Juan</b:First>
          </b:Person>
          <b:Person>
            <b:Last>Perez</b:Last>
            <b:First>Beatriz</b:First>
          </b:Person>
        </b:NameList>
      </b:Author>
    </b:Author>
    <b:JournalName>Frontal Pschology</b:JournalName>
    <b:Volume>7</b:Volume>
    <b:RefOrder>2</b:RefOrder>
  </b:Source>
  <b:Source>
    <b:Tag>DeW13</b:Tag>
    <b:SourceType>JournalArticle</b:SourceType>
    <b:Guid>{966431DA-B922-4BD8-B403-1547E0941A79}</b:Guid>
    <b:Author>
      <b:Author>
        <b:NameList>
          <b:Person>
            <b:Last>De Witte</b:Last>
            <b:First>K</b:First>
          </b:Person>
          <b:Person>
            <b:Last>Groot</b:Last>
            <b:First>W</b:First>
          </b:Person>
          <b:Person>
            <b:Last>Cabus</b:Last>
            <b:First>S</b:First>
          </b:Person>
          <b:Person>
            <b:Last>Thyssen</b:Last>
            <b:First>G,</b:First>
            <b:Middle>Brink, H M</b:Middle>
          </b:Person>
        </b:NameList>
      </b:Author>
    </b:Author>
    <b:Title>A Critical Review of the Literature on School Dropout</b:Title>
    <b:JournalName>Education Res. Rev.</b:JournalName>
    <b:Year>2013</b:Year>
    <b:Pages>13-28</b:Pages>
    <b:Volume>10</b:Volume>
    <b:RefOrder>3</b:RefOrder>
  </b:Source>
  <b:Source>
    <b:Tag>Sag20</b:Tag>
    <b:SourceType>JournalArticle</b:SourceType>
    <b:Guid>{297CA3B9-9ED1-4B24-B519-4AABAEF69C11}</b:Guid>
    <b:Author>
      <b:Author>
        <b:Corporate>Sage</b:Corporate>
      </b:Author>
    </b:Author>
    <b:Title>Theories of Delinquency</b:Title>
    <b:JournalName>Sage</b:JournalName>
    <b:Year>2020</b:Year>
    <b:Pages>41-44</b:Pages>
    <b:RefOrder>4</b:RefOrder>
  </b:Source>
</b:Sources>
</file>

<file path=customXml/itemProps1.xml><?xml version="1.0" encoding="utf-8"?>
<ds:datastoreItem xmlns:ds="http://schemas.openxmlformats.org/officeDocument/2006/customXml" ds:itemID="{4E52C14C-5E4C-49FB-A676-1BB5D072D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dc:creator>
  <cp:lastModifiedBy>Gry</cp:lastModifiedBy>
  <cp:revision>2</cp:revision>
  <dcterms:created xsi:type="dcterms:W3CDTF">2021-09-11T02:03:00Z</dcterms:created>
  <dcterms:modified xsi:type="dcterms:W3CDTF">2021-09-11T02:43:00Z</dcterms:modified>
</cp:coreProperties>
</file>